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B8BF" w14:textId="1FD22295" w:rsidR="00776F99" w:rsidRDefault="002C3728" w:rsidP="002C3728">
      <w:pPr>
        <w:spacing w:after="60"/>
        <w:ind w:firstLine="720"/>
      </w:pPr>
      <w:r>
        <w:rPr>
          <w:b/>
          <w:bCs/>
          <w:color w:val="AAAAAA"/>
        </w:rPr>
        <w:t xml:space="preserve"> </w:t>
      </w:r>
      <w:r w:rsidR="00000000">
        <w:rPr>
          <w:b/>
          <w:bCs/>
          <w:color w:val="AAAAAA"/>
        </w:rPr>
        <w:t>USE CASE 04</w:t>
      </w:r>
    </w:p>
    <w:p w14:paraId="4645B8C0" w14:textId="77777777" w:rsidR="00776F99" w:rsidRDefault="00000000">
      <w:pPr>
        <w:pBdr>
          <w:bottom w:val="single" w:sz="8" w:space="4" w:color="2E75B6"/>
        </w:pBdr>
        <w:spacing w:after="80"/>
      </w:pPr>
      <w:r>
        <w:rPr>
          <w:b/>
          <w:bCs/>
          <w:color w:val="1F3864"/>
          <w:sz w:val="36"/>
          <w:szCs w:val="36"/>
        </w:rPr>
        <w:t>Drafting Reply to Income Tax Show Cause Notice and Appeal Grounds</w:t>
      </w:r>
    </w:p>
    <w:p w14:paraId="4645B8C1" w14:textId="77777777" w:rsidR="00776F99" w:rsidRDefault="00776F99">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2340"/>
        <w:gridCol w:w="2340"/>
        <w:gridCol w:w="2340"/>
      </w:tblGrid>
      <w:tr w:rsidR="00776F99" w14:paraId="4645B8CA" w14:textId="77777777">
        <w:tblPrEx>
          <w:tblCellMar>
            <w:top w:w="0" w:type="dxa"/>
            <w:bottom w:w="0" w:type="dxa"/>
          </w:tblCellMar>
        </w:tblPrEx>
        <w:tc>
          <w:tcPr>
            <w:tcW w:w="234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C2" w14:textId="77777777" w:rsidR="00776F99" w:rsidRDefault="00000000">
            <w:r>
              <w:rPr>
                <w:b/>
                <w:bCs/>
                <w:color w:val="CCDDFF"/>
                <w:sz w:val="16"/>
                <w:szCs w:val="16"/>
              </w:rPr>
              <w:t>DOMAIN</w:t>
            </w:r>
          </w:p>
          <w:p w14:paraId="4645B8C3" w14:textId="77777777" w:rsidR="00776F99" w:rsidRDefault="00000000">
            <w:r>
              <w:rPr>
                <w:b/>
                <w:bCs/>
                <w:color w:val="FFFFFF"/>
              </w:rPr>
              <w:t>Direct Tax</w:t>
            </w:r>
          </w:p>
        </w:tc>
        <w:tc>
          <w:tcPr>
            <w:tcW w:w="234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C4" w14:textId="77777777" w:rsidR="00776F99" w:rsidRDefault="00000000">
            <w:r>
              <w:rPr>
                <w:b/>
                <w:bCs/>
                <w:color w:val="CCDDFF"/>
                <w:sz w:val="16"/>
                <w:szCs w:val="16"/>
              </w:rPr>
              <w:t>TOOL</w:t>
            </w:r>
          </w:p>
          <w:p w14:paraId="4645B8C5" w14:textId="77777777" w:rsidR="00776F99" w:rsidRDefault="00000000">
            <w:r>
              <w:rPr>
                <w:b/>
                <w:bCs/>
                <w:color w:val="FFFFFF"/>
              </w:rPr>
              <w:t>Claude / ChatGPT</w:t>
            </w:r>
          </w:p>
        </w:tc>
        <w:tc>
          <w:tcPr>
            <w:tcW w:w="234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C6" w14:textId="77777777" w:rsidR="00776F99" w:rsidRDefault="00000000">
            <w:r>
              <w:rPr>
                <w:b/>
                <w:bCs/>
                <w:color w:val="CCDDFF"/>
                <w:sz w:val="16"/>
                <w:szCs w:val="16"/>
              </w:rPr>
              <w:t>AUDIENCE</w:t>
            </w:r>
          </w:p>
          <w:p w14:paraId="4645B8C7" w14:textId="77777777" w:rsidR="00776F99" w:rsidRDefault="00000000">
            <w:r>
              <w:rPr>
                <w:b/>
                <w:bCs/>
                <w:color w:val="FFFFFF"/>
              </w:rPr>
              <w:t>All CAs</w:t>
            </w:r>
          </w:p>
        </w:tc>
        <w:tc>
          <w:tcPr>
            <w:tcW w:w="234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C8" w14:textId="77777777" w:rsidR="00776F99" w:rsidRDefault="00000000">
            <w:r>
              <w:rPr>
                <w:b/>
                <w:bCs/>
                <w:color w:val="CCDDFF"/>
                <w:sz w:val="16"/>
                <w:szCs w:val="16"/>
              </w:rPr>
              <w:t>COMPLEXITY</w:t>
            </w:r>
          </w:p>
          <w:p w14:paraId="4645B8C9" w14:textId="77777777" w:rsidR="00776F99" w:rsidRDefault="00000000">
            <w:r>
              <w:rPr>
                <w:b/>
                <w:bCs/>
                <w:color w:val="FFFFFF"/>
              </w:rPr>
              <w:t>Advanced</w:t>
            </w:r>
          </w:p>
        </w:tc>
      </w:tr>
    </w:tbl>
    <w:p w14:paraId="4645B8CB" w14:textId="77777777" w:rsidR="00776F99" w:rsidRDefault="00776F99">
      <w:pPr>
        <w:spacing w:after="80"/>
      </w:pPr>
    </w:p>
    <w:p w14:paraId="4645B8CC" w14:textId="77777777" w:rsidR="00776F99" w:rsidRDefault="00776F99">
      <w:pPr>
        <w:spacing w:after="80"/>
      </w:pPr>
    </w:p>
    <w:p w14:paraId="4645B8CD" w14:textId="77777777" w:rsidR="00776F99" w:rsidRDefault="00000000">
      <w:pPr>
        <w:shd w:val="clear" w:color="auto" w:fill="2E75B6"/>
        <w:spacing w:before="240"/>
      </w:pPr>
      <w:r>
        <w:rPr>
          <w:b/>
          <w:bCs/>
          <w:color w:val="FFFFFF"/>
        </w:rPr>
        <w:t>THE PROBLEM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776F99" w14:paraId="4645B8D4" w14:textId="77777777">
        <w:tblPrEx>
          <w:tblCellMar>
            <w:top w:w="0" w:type="dxa"/>
            <w:bottom w:w="0" w:type="dxa"/>
          </w:tblCellMar>
        </w:tblPrEx>
        <w:tc>
          <w:tcPr>
            <w:tcW w:w="2000" w:type="dxa"/>
            <w:tcBorders>
              <w:top w:val="single" w:sz="1" w:space="0" w:color="BBBBBB"/>
              <w:left w:val="single" w:sz="1" w:space="0" w:color="BBBBBB"/>
              <w:bottom w:val="single" w:sz="1" w:space="0" w:color="BBBBBB"/>
              <w:right w:val="single" w:sz="1" w:space="0" w:color="BBBBBB"/>
            </w:tcBorders>
            <w:shd w:val="clear" w:color="auto" w:fill="F2F2F2"/>
            <w:tcMar>
              <w:top w:w="80" w:type="dxa"/>
              <w:left w:w="120" w:type="dxa"/>
              <w:bottom w:w="80" w:type="dxa"/>
              <w:right w:w="120" w:type="dxa"/>
            </w:tcMar>
          </w:tcPr>
          <w:p w14:paraId="4645B8CE" w14:textId="77777777" w:rsidR="00776F99" w:rsidRDefault="00776F99"/>
        </w:tc>
        <w:tc>
          <w:tcPr>
            <w:tcW w:w="73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CF" w14:textId="77777777" w:rsidR="00776F99" w:rsidRDefault="00000000">
            <w:pPr>
              <w:spacing w:after="40"/>
            </w:pPr>
            <w:r>
              <w:t>Drafting a reply to an Income Tax Show Cause Notice is one of the most time-sensitive and high-stakes tasks in a CA's practice. The reply must address every proposed variation factually and legally, cite the correct sections, and include relevant judicial precedents — all within a tight compliance deadline.</w:t>
            </w:r>
          </w:p>
          <w:p w14:paraId="4645B8D0" w14:textId="77777777" w:rsidR="00776F99" w:rsidRDefault="00776F99">
            <w:pPr>
              <w:spacing w:after="60"/>
            </w:pPr>
          </w:p>
          <w:p w14:paraId="4645B8D1" w14:textId="77777777" w:rsidR="00776F99" w:rsidRDefault="00000000">
            <w:pPr>
              <w:spacing w:after="40"/>
            </w:pPr>
            <w:r>
              <w:t xml:space="preserve">In practice, a Section 144 best judgment assessment is particularly dangerous because the department has applied an arbitrary NP rate to the entire turnover. If the reply is weak or late, the addition gets confirmed and the client faces both a large tax demand and penalty u/s 270A for alleged </w:t>
            </w:r>
            <w:proofErr w:type="gramStart"/>
            <w:r>
              <w:t>mis-reporting</w:t>
            </w:r>
            <w:proofErr w:type="gramEnd"/>
            <w:r>
              <w:t>.</w:t>
            </w:r>
          </w:p>
          <w:p w14:paraId="4645B8D2" w14:textId="77777777" w:rsidR="00776F99" w:rsidRDefault="00776F99">
            <w:pPr>
              <w:spacing w:after="60"/>
            </w:pPr>
          </w:p>
          <w:p w14:paraId="4645B8D3" w14:textId="77777777" w:rsidR="00776F99" w:rsidRDefault="00000000">
            <w:pPr>
              <w:spacing w:after="40"/>
            </w:pPr>
            <w:r>
              <w:t>A well-structured reply typically takes a senior CA 2 to 4 hours — researching case law, structuring arguments ground-by-ground, drafting in the correct legal register, and ensuring all procedural defences are covered.</w:t>
            </w:r>
          </w:p>
        </w:tc>
      </w:tr>
    </w:tbl>
    <w:p w14:paraId="4645B8D5" w14:textId="77777777" w:rsidR="00776F99" w:rsidRDefault="00776F99">
      <w:pPr>
        <w:spacing w:after="80"/>
      </w:pPr>
    </w:p>
    <w:p w14:paraId="4645B8D6" w14:textId="77777777" w:rsidR="00776F99" w:rsidRDefault="00000000">
      <w:pPr>
        <w:shd w:val="clear" w:color="auto" w:fill="2E75B6"/>
        <w:spacing w:before="240"/>
      </w:pPr>
      <w:r>
        <w:rPr>
          <w:b/>
          <w:bCs/>
          <w:color w:val="FFFFFF"/>
        </w:rPr>
        <w:t>THE AI / AUTOMATION SOLUTION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776F99" w14:paraId="4645B8E3" w14:textId="77777777">
        <w:tblPrEx>
          <w:tblCellMar>
            <w:top w:w="0" w:type="dxa"/>
            <w:bottom w:w="0" w:type="dxa"/>
          </w:tblCellMar>
        </w:tblPrEx>
        <w:tc>
          <w:tcPr>
            <w:tcW w:w="2000" w:type="dxa"/>
            <w:tcBorders>
              <w:top w:val="single" w:sz="1" w:space="0" w:color="BBBBBB"/>
              <w:left w:val="single" w:sz="1" w:space="0" w:color="BBBBBB"/>
              <w:bottom w:val="single" w:sz="1" w:space="0" w:color="BBBBBB"/>
              <w:right w:val="single" w:sz="1" w:space="0" w:color="BBBBBB"/>
            </w:tcBorders>
            <w:shd w:val="clear" w:color="auto" w:fill="F2F2F2"/>
            <w:tcMar>
              <w:top w:w="80" w:type="dxa"/>
              <w:left w:w="120" w:type="dxa"/>
              <w:bottom w:w="80" w:type="dxa"/>
              <w:right w:w="120" w:type="dxa"/>
            </w:tcMar>
          </w:tcPr>
          <w:p w14:paraId="4645B8D7" w14:textId="77777777" w:rsidR="00776F99" w:rsidRDefault="00776F99"/>
        </w:tc>
        <w:tc>
          <w:tcPr>
            <w:tcW w:w="73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D8" w14:textId="77777777" w:rsidR="00776F99" w:rsidRDefault="00000000">
            <w:pPr>
              <w:spacing w:after="40"/>
            </w:pPr>
            <w:r>
              <w:t>The CA feeds Claude the SCN facts — the section invoked, proposed additions, the assessee's background, and the procedural history. Claude produces a complete, structured reply addressing every ground of the notice:</w:t>
            </w:r>
          </w:p>
          <w:p w14:paraId="4645B8D9" w14:textId="77777777" w:rsidR="00776F99" w:rsidRDefault="00776F99">
            <w:pPr>
              <w:spacing w:after="60"/>
            </w:pPr>
          </w:p>
          <w:p w14:paraId="4645B8DA" w14:textId="77777777" w:rsidR="00776F99" w:rsidRDefault="00000000">
            <w:pPr>
              <w:spacing w:after="40"/>
            </w:pPr>
            <w:r>
              <w:t>Procedural defence: non-receipt of notices, immediate response upon becoming aware, willingness to comply.</w:t>
            </w:r>
          </w:p>
          <w:p w14:paraId="4645B8DB" w14:textId="77777777" w:rsidR="00776F99" w:rsidRDefault="00776F99">
            <w:pPr>
              <w:spacing w:after="60"/>
            </w:pPr>
          </w:p>
          <w:p w14:paraId="4645B8DC" w14:textId="77777777" w:rsidR="00776F99" w:rsidRDefault="00000000">
            <w:pPr>
              <w:spacing w:after="40"/>
            </w:pPr>
            <w:r>
              <w:t>Substantive defence on Section 145(3): argues that books cannot be rejected for non-submission when non-submission was due to non-receipt of notices — not because books are incorrect.</w:t>
            </w:r>
          </w:p>
          <w:p w14:paraId="4645B8DD" w14:textId="77777777" w:rsidR="00776F99" w:rsidRDefault="00776F99">
            <w:pPr>
              <w:spacing w:after="60"/>
            </w:pPr>
          </w:p>
          <w:p w14:paraId="4645B8DE" w14:textId="77777777" w:rsidR="00776F99" w:rsidRDefault="00000000">
            <w:pPr>
              <w:spacing w:after="40"/>
            </w:pPr>
            <w:r>
              <w:t>Substantive defence on NP estimation: challenges the 30% rate as commercially unreasonable for the education and vocational training sector, citing industry norms and judicial precedents on estimation methodology.</w:t>
            </w:r>
          </w:p>
          <w:p w14:paraId="4645B8DF" w14:textId="77777777" w:rsidR="00776F99" w:rsidRDefault="00776F99">
            <w:pPr>
              <w:spacing w:after="60"/>
            </w:pPr>
          </w:p>
          <w:p w14:paraId="4645B8E0" w14:textId="77777777" w:rsidR="00776F99" w:rsidRDefault="00000000">
            <w:pPr>
              <w:spacing w:after="40"/>
            </w:pPr>
            <w:r>
              <w:t xml:space="preserve">Defence on penalty u/s 270A: distinguishes between non-filing of documents and deliberate </w:t>
            </w:r>
            <w:proofErr w:type="gramStart"/>
            <w:r>
              <w:t>mis-reporting</w:t>
            </w:r>
            <w:proofErr w:type="gramEnd"/>
            <w:r>
              <w:t>.</w:t>
            </w:r>
          </w:p>
          <w:p w14:paraId="4645B8E1" w14:textId="77777777" w:rsidR="00776F99" w:rsidRDefault="00776F99">
            <w:pPr>
              <w:spacing w:after="60"/>
            </w:pPr>
          </w:p>
          <w:p w14:paraId="4645B8E2" w14:textId="77777777" w:rsidR="00776F99" w:rsidRDefault="00000000">
            <w:pPr>
              <w:spacing w:after="40"/>
            </w:pPr>
            <w:r>
              <w:t>A prayer clause covering all reliefs. The entire draft in under 3 minutes.</w:t>
            </w:r>
          </w:p>
        </w:tc>
      </w:tr>
    </w:tbl>
    <w:p w14:paraId="4645B8E4" w14:textId="77777777" w:rsidR="00776F99" w:rsidRDefault="00776F99">
      <w:pPr>
        <w:spacing w:after="80"/>
      </w:pPr>
    </w:p>
    <w:p w14:paraId="4645B8E5" w14:textId="77777777" w:rsidR="00776F99" w:rsidRDefault="00000000">
      <w:pPr>
        <w:shd w:val="clear" w:color="auto" w:fill="2E75B6"/>
        <w:spacing w:before="240"/>
      </w:pPr>
      <w:r>
        <w:rPr>
          <w:b/>
          <w:bCs/>
          <w:color w:val="FFFFFF"/>
        </w:rPr>
        <w:t>SCN FACTS SUMMARY — WORKSHOP SCENARIO</w:t>
      </w:r>
    </w:p>
    <w:p w14:paraId="4645B8E6" w14:textId="77777777" w:rsidR="00776F99" w:rsidRDefault="00000000">
      <w:pPr>
        <w:spacing w:before="120" w:after="120"/>
      </w:pPr>
      <w:r>
        <w:rPr>
          <w:i/>
          <w:iCs/>
          <w:color w:val="C0392B"/>
          <w:sz w:val="18"/>
          <w:szCs w:val="18"/>
        </w:rPr>
        <w:t>Dummy data — all names, PAN, figures and addresses are fictitious and created for workshop demonstration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776F99" w14:paraId="4645B8E9" w14:textId="77777777">
        <w:tblPrEx>
          <w:tblCellMar>
            <w:top w:w="0" w:type="dxa"/>
            <w:bottom w:w="0" w:type="dxa"/>
          </w:tblCellMar>
        </w:tblPrEx>
        <w:trPr>
          <w:tblHeader/>
        </w:trPr>
        <w:tc>
          <w:tcPr>
            <w:tcW w:w="280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E7" w14:textId="77777777" w:rsidR="00776F99" w:rsidRDefault="00000000">
            <w:r>
              <w:rPr>
                <w:b/>
                <w:bCs/>
                <w:color w:val="FFFFFF"/>
                <w:sz w:val="18"/>
                <w:szCs w:val="18"/>
              </w:rPr>
              <w:t>Particulars</w:t>
            </w:r>
          </w:p>
        </w:tc>
        <w:tc>
          <w:tcPr>
            <w:tcW w:w="6560" w:type="dxa"/>
            <w:tcBorders>
              <w:top w:val="single" w:sz="1" w:space="0" w:color="BBBBBB"/>
              <w:left w:val="single" w:sz="1" w:space="0" w:color="BBBBBB"/>
              <w:bottom w:val="single" w:sz="1" w:space="0" w:color="BBBBBB"/>
              <w:right w:val="single" w:sz="1" w:space="0" w:color="BBBBBB"/>
            </w:tcBorders>
            <w:shd w:val="clear" w:color="auto" w:fill="1F3864"/>
            <w:tcMar>
              <w:top w:w="80" w:type="dxa"/>
              <w:left w:w="120" w:type="dxa"/>
              <w:bottom w:w="80" w:type="dxa"/>
              <w:right w:w="120" w:type="dxa"/>
            </w:tcMar>
          </w:tcPr>
          <w:p w14:paraId="4645B8E8" w14:textId="77777777" w:rsidR="00776F99" w:rsidRDefault="00000000">
            <w:r>
              <w:rPr>
                <w:b/>
                <w:bCs/>
                <w:color w:val="FFFFFF"/>
                <w:sz w:val="18"/>
                <w:szCs w:val="18"/>
              </w:rPr>
              <w:t>Details</w:t>
            </w:r>
          </w:p>
        </w:tc>
      </w:tr>
      <w:tr w:rsidR="00776F99" w14:paraId="4645B8EC"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EA" w14:textId="77777777" w:rsidR="00776F99" w:rsidRDefault="00000000">
            <w:r>
              <w:rPr>
                <w:b/>
                <w:bCs/>
                <w:sz w:val="18"/>
                <w:szCs w:val="18"/>
              </w:rPr>
              <w:t>Assessee</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EB" w14:textId="77777777" w:rsidR="00776F99" w:rsidRDefault="00000000">
            <w:r>
              <w:rPr>
                <w:sz w:val="18"/>
                <w:szCs w:val="18"/>
              </w:rPr>
              <w:t>M/s Pinnacle Vocational &amp; Skills Training Institute</w:t>
            </w:r>
          </w:p>
        </w:tc>
      </w:tr>
      <w:tr w:rsidR="00776F99" w14:paraId="4645B8EF"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ED" w14:textId="77777777" w:rsidR="00776F99" w:rsidRDefault="00000000">
            <w:r>
              <w:rPr>
                <w:b/>
                <w:bCs/>
                <w:sz w:val="18"/>
                <w:szCs w:val="18"/>
              </w:rPr>
              <w:t>PAN</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EE" w14:textId="77777777" w:rsidR="00776F99" w:rsidRDefault="00000000">
            <w:r>
              <w:rPr>
                <w:sz w:val="18"/>
                <w:szCs w:val="18"/>
              </w:rPr>
              <w:t>AAGTP7412K (dummy)</w:t>
            </w:r>
          </w:p>
        </w:tc>
      </w:tr>
      <w:tr w:rsidR="00776F99" w14:paraId="4645B8F2"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0" w14:textId="77777777" w:rsidR="00776F99" w:rsidRDefault="00000000">
            <w:r>
              <w:rPr>
                <w:b/>
                <w:bCs/>
                <w:sz w:val="18"/>
                <w:szCs w:val="18"/>
              </w:rPr>
              <w:lastRenderedPageBreak/>
              <w:t>Entity Type</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1" w14:textId="77777777" w:rsidR="00776F99" w:rsidRDefault="00000000">
            <w:r>
              <w:rPr>
                <w:sz w:val="18"/>
                <w:szCs w:val="18"/>
              </w:rPr>
              <w:t>AOP / BOI</w:t>
            </w:r>
          </w:p>
        </w:tc>
      </w:tr>
      <w:tr w:rsidR="00776F99" w14:paraId="4645B8F5"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F3" w14:textId="77777777" w:rsidR="00776F99" w:rsidRDefault="00000000">
            <w:r>
              <w:rPr>
                <w:b/>
                <w:bCs/>
                <w:sz w:val="18"/>
                <w:szCs w:val="18"/>
              </w:rPr>
              <w:t>Business</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F4" w14:textId="77777777" w:rsidR="00776F99" w:rsidRDefault="00000000">
            <w:r>
              <w:rPr>
                <w:sz w:val="18"/>
                <w:szCs w:val="18"/>
              </w:rPr>
              <w:t>Correspondence education and vocational skills training</w:t>
            </w:r>
          </w:p>
        </w:tc>
      </w:tr>
      <w:tr w:rsidR="00776F99" w14:paraId="4645B8F8"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6" w14:textId="77777777" w:rsidR="00776F99" w:rsidRDefault="00000000">
            <w:r>
              <w:rPr>
                <w:b/>
                <w:bCs/>
                <w:sz w:val="18"/>
                <w:szCs w:val="18"/>
              </w:rPr>
              <w:t>Assessment Year</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7" w14:textId="77777777" w:rsidR="00776F99" w:rsidRDefault="00000000">
            <w:r>
              <w:rPr>
                <w:sz w:val="18"/>
                <w:szCs w:val="18"/>
              </w:rPr>
              <w:t>2024-25 (F.Y. 2023-24)</w:t>
            </w:r>
          </w:p>
        </w:tc>
      </w:tr>
      <w:tr w:rsidR="00776F99" w14:paraId="4645B8FB"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F9" w14:textId="77777777" w:rsidR="00776F99" w:rsidRDefault="00000000">
            <w:r>
              <w:rPr>
                <w:b/>
                <w:bCs/>
                <w:sz w:val="18"/>
                <w:szCs w:val="18"/>
              </w:rPr>
              <w:t>Returned Income</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FA" w14:textId="77777777" w:rsidR="00776F99" w:rsidRDefault="00000000">
            <w:r>
              <w:rPr>
                <w:sz w:val="18"/>
                <w:szCs w:val="18"/>
              </w:rPr>
              <w:t>Rs. 3,14,200/-</w:t>
            </w:r>
          </w:p>
        </w:tc>
      </w:tr>
      <w:tr w:rsidR="00776F99" w14:paraId="4645B8FE"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C" w14:textId="77777777" w:rsidR="00776F99" w:rsidRDefault="00000000">
            <w:r>
              <w:rPr>
                <w:b/>
                <w:bCs/>
                <w:sz w:val="18"/>
                <w:szCs w:val="18"/>
              </w:rPr>
              <w:t>Turnover as per ITR</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8FD" w14:textId="77777777" w:rsidR="00776F99" w:rsidRDefault="00000000">
            <w:r>
              <w:rPr>
                <w:sz w:val="18"/>
                <w:szCs w:val="18"/>
              </w:rPr>
              <w:t>Rs. 10,24,00,000/-</w:t>
            </w:r>
          </w:p>
        </w:tc>
      </w:tr>
      <w:tr w:rsidR="00776F99" w14:paraId="4645B901"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8FF" w14:textId="77777777" w:rsidR="00776F99" w:rsidRDefault="00000000">
            <w:r>
              <w:rPr>
                <w:b/>
                <w:bCs/>
                <w:sz w:val="18"/>
                <w:szCs w:val="18"/>
              </w:rPr>
              <w:t>Section invoked</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00" w14:textId="77777777" w:rsidR="00776F99" w:rsidRDefault="00000000">
            <w:r>
              <w:rPr>
                <w:sz w:val="18"/>
                <w:szCs w:val="18"/>
              </w:rPr>
              <w:t xml:space="preserve">144 </w:t>
            </w:r>
            <w:proofErr w:type="spellStart"/>
            <w:r>
              <w:rPr>
                <w:sz w:val="18"/>
                <w:szCs w:val="18"/>
              </w:rPr>
              <w:t>r.w.s</w:t>
            </w:r>
            <w:proofErr w:type="spellEnd"/>
            <w:r>
              <w:rPr>
                <w:sz w:val="18"/>
                <w:szCs w:val="18"/>
              </w:rPr>
              <w:t xml:space="preserve">. 143(3) </w:t>
            </w:r>
            <w:proofErr w:type="spellStart"/>
            <w:r>
              <w:rPr>
                <w:sz w:val="18"/>
                <w:szCs w:val="18"/>
              </w:rPr>
              <w:t>r.w.s</w:t>
            </w:r>
            <w:proofErr w:type="spellEnd"/>
            <w:r>
              <w:rPr>
                <w:sz w:val="18"/>
                <w:szCs w:val="18"/>
              </w:rPr>
              <w:t>. 144B — Best Judgment Assessment</w:t>
            </w:r>
          </w:p>
        </w:tc>
      </w:tr>
      <w:tr w:rsidR="00776F99" w14:paraId="4645B904"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2" w14:textId="77777777" w:rsidR="00776F99" w:rsidRDefault="00000000">
            <w:r>
              <w:rPr>
                <w:b/>
                <w:bCs/>
                <w:sz w:val="18"/>
                <w:szCs w:val="18"/>
              </w:rPr>
              <w:t>Basis of addition</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3" w14:textId="77777777" w:rsidR="00776F99" w:rsidRDefault="00000000">
            <w:r>
              <w:rPr>
                <w:sz w:val="18"/>
                <w:szCs w:val="18"/>
              </w:rPr>
              <w:t>Rejection of books u/s 145(3) — non-submission of details</w:t>
            </w:r>
          </w:p>
        </w:tc>
      </w:tr>
      <w:tr w:rsidR="00776F99" w14:paraId="4645B907"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05" w14:textId="77777777" w:rsidR="00776F99" w:rsidRDefault="00000000">
            <w:r>
              <w:rPr>
                <w:b/>
                <w:bCs/>
                <w:sz w:val="18"/>
                <w:szCs w:val="18"/>
              </w:rPr>
              <w:t>NP rate applied</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06" w14:textId="77777777" w:rsidR="00776F99" w:rsidRDefault="00000000">
            <w:r>
              <w:rPr>
                <w:sz w:val="18"/>
                <w:szCs w:val="18"/>
              </w:rPr>
              <w:t>30% of turnover</w:t>
            </w:r>
          </w:p>
        </w:tc>
      </w:tr>
      <w:tr w:rsidR="00776F99" w14:paraId="4645B90A"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8" w14:textId="77777777" w:rsidR="00776F99" w:rsidRDefault="00000000">
            <w:r>
              <w:rPr>
                <w:b/>
                <w:bCs/>
                <w:sz w:val="18"/>
                <w:szCs w:val="18"/>
              </w:rPr>
              <w:t>Assessed income</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9" w14:textId="77777777" w:rsidR="00776F99" w:rsidRDefault="00000000">
            <w:r>
              <w:rPr>
                <w:sz w:val="18"/>
                <w:szCs w:val="18"/>
              </w:rPr>
              <w:t>Rs. 3,07,20,000/-</w:t>
            </w:r>
          </w:p>
        </w:tc>
      </w:tr>
      <w:tr w:rsidR="00776F99" w14:paraId="4645B90D"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0B" w14:textId="77777777" w:rsidR="00776F99" w:rsidRDefault="00000000">
            <w:r>
              <w:rPr>
                <w:b/>
                <w:bCs/>
                <w:sz w:val="18"/>
                <w:szCs w:val="18"/>
              </w:rPr>
              <w:t>Addition proposed</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0C" w14:textId="77777777" w:rsidR="00776F99" w:rsidRDefault="00000000">
            <w:r>
              <w:rPr>
                <w:sz w:val="18"/>
                <w:szCs w:val="18"/>
              </w:rPr>
              <w:t>Rs. 3,04,05,800/-</w:t>
            </w:r>
          </w:p>
        </w:tc>
      </w:tr>
      <w:tr w:rsidR="00776F99" w14:paraId="4645B910"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E" w14:textId="77777777" w:rsidR="00776F99" w:rsidRDefault="00000000">
            <w:r>
              <w:rPr>
                <w:b/>
                <w:bCs/>
                <w:sz w:val="18"/>
                <w:szCs w:val="18"/>
              </w:rPr>
              <w:t>Penalty initiated</w:t>
            </w:r>
          </w:p>
        </w:tc>
        <w:tc>
          <w:tcPr>
            <w:tcW w:w="65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0F" w14:textId="77777777" w:rsidR="00776F99" w:rsidRDefault="00000000">
            <w:r>
              <w:rPr>
                <w:sz w:val="18"/>
                <w:szCs w:val="18"/>
              </w:rPr>
              <w:t>u/s 270</w:t>
            </w:r>
            <w:proofErr w:type="gramStart"/>
            <w:r>
              <w:rPr>
                <w:sz w:val="18"/>
                <w:szCs w:val="18"/>
              </w:rPr>
              <w:t>A(</w:t>
            </w:r>
            <w:proofErr w:type="gramEnd"/>
            <w:r>
              <w:rPr>
                <w:sz w:val="18"/>
                <w:szCs w:val="18"/>
              </w:rPr>
              <w:t xml:space="preserve">9) </w:t>
            </w:r>
            <w:proofErr w:type="spellStart"/>
            <w:r>
              <w:rPr>
                <w:sz w:val="18"/>
                <w:szCs w:val="18"/>
              </w:rPr>
              <w:t>r.w.s</w:t>
            </w:r>
            <w:proofErr w:type="spellEnd"/>
            <w:r>
              <w:rPr>
                <w:sz w:val="18"/>
                <w:szCs w:val="18"/>
              </w:rPr>
              <w:t>. 270</w:t>
            </w:r>
            <w:proofErr w:type="gramStart"/>
            <w:r>
              <w:rPr>
                <w:sz w:val="18"/>
                <w:szCs w:val="18"/>
              </w:rPr>
              <w:t>A(</w:t>
            </w:r>
            <w:proofErr w:type="gramEnd"/>
            <w:r>
              <w:rPr>
                <w:sz w:val="18"/>
                <w:szCs w:val="18"/>
              </w:rPr>
              <w:t>8) and u/s 272A(1)(d)</w:t>
            </w:r>
          </w:p>
        </w:tc>
      </w:tr>
      <w:tr w:rsidR="00776F99" w14:paraId="4645B913" w14:textId="77777777">
        <w:tblPrEx>
          <w:tblCellMar>
            <w:top w:w="0" w:type="dxa"/>
            <w:bottom w:w="0" w:type="dxa"/>
          </w:tblCellMar>
        </w:tblPrEx>
        <w:tc>
          <w:tcPr>
            <w:tcW w:w="280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11" w14:textId="77777777" w:rsidR="00776F99" w:rsidRDefault="00000000">
            <w:r>
              <w:rPr>
                <w:b/>
                <w:bCs/>
                <w:sz w:val="18"/>
                <w:szCs w:val="18"/>
              </w:rPr>
              <w:t>Response deadline</w:t>
            </w:r>
          </w:p>
        </w:tc>
        <w:tc>
          <w:tcPr>
            <w:tcW w:w="65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12" w14:textId="77777777" w:rsidR="00776F99" w:rsidRDefault="00000000">
            <w:r>
              <w:rPr>
                <w:sz w:val="18"/>
                <w:szCs w:val="18"/>
              </w:rPr>
              <w:t>05/01/2026</w:t>
            </w:r>
          </w:p>
        </w:tc>
      </w:tr>
    </w:tbl>
    <w:p w14:paraId="4645B914" w14:textId="77777777" w:rsidR="00776F99" w:rsidRDefault="00776F99">
      <w:pPr>
        <w:spacing w:after="80"/>
      </w:pPr>
    </w:p>
    <w:p w14:paraId="4645B915" w14:textId="77777777" w:rsidR="00776F99" w:rsidRDefault="00000000">
      <w:pPr>
        <w:shd w:val="clear" w:color="auto" w:fill="2E75B6"/>
        <w:spacing w:before="240"/>
      </w:pPr>
      <w:r>
        <w:rPr>
          <w:b/>
          <w:bCs/>
          <w:color w:val="FFFFFF"/>
        </w:rPr>
        <w:t>LIVE DEMO PROMPT — STAGE 1: REPLY TO SCN</w:t>
      </w:r>
    </w:p>
    <w:p w14:paraId="4645B916" w14:textId="77777777" w:rsidR="00776F99" w:rsidRDefault="00000000">
      <w:pPr>
        <w:spacing w:before="120" w:after="120"/>
      </w:pPr>
      <w:r>
        <w:rPr>
          <w:i/>
          <w:iCs/>
          <w:color w:val="555555"/>
          <w:sz w:val="18"/>
          <w:szCs w:val="18"/>
        </w:rPr>
        <w:t>Paste the following into Claude. The full prompt with facilitator instructions is in the accompanying file: live_demo_prompt.txt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76F99" w14:paraId="4645B92D" w14:textId="77777777">
        <w:tblPrEx>
          <w:tblCellMar>
            <w:top w:w="0" w:type="dxa"/>
            <w:bottom w:w="0" w:type="dxa"/>
          </w:tblCellMar>
        </w:tblPrEx>
        <w:tc>
          <w:tcPr>
            <w:tcW w:w="9360" w:type="dxa"/>
            <w:tcBorders>
              <w:top w:val="single" w:sz="4" w:space="0" w:color="2E75B6"/>
              <w:left w:val="thick" w:sz="12" w:space="0" w:color="2E75B6"/>
              <w:bottom w:val="single" w:sz="4" w:space="0" w:color="2E75B6"/>
              <w:right w:val="single" w:sz="4" w:space="0" w:color="2E75B6"/>
            </w:tcBorders>
            <w:shd w:val="clear" w:color="auto" w:fill="EAF3FF"/>
            <w:tcMar>
              <w:top w:w="120" w:type="dxa"/>
              <w:left w:w="200" w:type="dxa"/>
              <w:bottom w:w="120" w:type="dxa"/>
              <w:right w:w="200" w:type="dxa"/>
            </w:tcMar>
          </w:tcPr>
          <w:p w14:paraId="4645B917" w14:textId="77777777" w:rsidR="00776F99" w:rsidRDefault="00000000">
            <w:pPr>
              <w:spacing w:after="30"/>
            </w:pPr>
            <w:r>
              <w:rPr>
                <w:rFonts w:ascii="Courier New" w:eastAsia="Courier New" w:hAnsi="Courier New" w:cs="Courier New"/>
                <w:color w:val="1A1A2E"/>
                <w:sz w:val="18"/>
                <w:szCs w:val="18"/>
              </w:rPr>
              <w:t>You are a senior Chartered Accountant representing M/s Pinnacle Vocational &amp;</w:t>
            </w:r>
          </w:p>
          <w:p w14:paraId="4645B918" w14:textId="77777777" w:rsidR="00776F99" w:rsidRDefault="00000000">
            <w:pPr>
              <w:spacing w:after="30"/>
            </w:pPr>
            <w:r>
              <w:rPr>
                <w:rFonts w:ascii="Courier New" w:eastAsia="Courier New" w:hAnsi="Courier New" w:cs="Courier New"/>
                <w:color w:val="1A1A2E"/>
                <w:sz w:val="18"/>
                <w:szCs w:val="18"/>
              </w:rPr>
              <w:t>Skills Training Institute, PAN: AAGTP7412K, an AOP engaged in correspondence</w:t>
            </w:r>
          </w:p>
          <w:p w14:paraId="4645B919" w14:textId="77777777" w:rsidR="00776F99" w:rsidRDefault="00000000">
            <w:pPr>
              <w:spacing w:after="30"/>
            </w:pPr>
            <w:r>
              <w:rPr>
                <w:rFonts w:ascii="Courier New" w:eastAsia="Courier New" w:hAnsi="Courier New" w:cs="Courier New"/>
                <w:color w:val="1A1A2E"/>
                <w:sz w:val="18"/>
                <w:szCs w:val="18"/>
              </w:rPr>
              <w:t>education, in assessment proceedings for A.Y. 2024-25.</w:t>
            </w:r>
          </w:p>
          <w:p w14:paraId="4645B91A" w14:textId="77777777" w:rsidR="00776F99" w:rsidRDefault="00776F99">
            <w:pPr>
              <w:spacing w:after="80"/>
            </w:pPr>
          </w:p>
          <w:p w14:paraId="4645B91B" w14:textId="77777777" w:rsidR="00776F99" w:rsidRDefault="00000000">
            <w:pPr>
              <w:spacing w:after="30"/>
            </w:pPr>
            <w:r>
              <w:rPr>
                <w:rFonts w:ascii="Courier New" w:eastAsia="Courier New" w:hAnsi="Courier New" w:cs="Courier New"/>
                <w:color w:val="1A1A2E"/>
                <w:sz w:val="18"/>
                <w:szCs w:val="18"/>
              </w:rPr>
              <w:t>The Assessing Officer has issued a Show Cause Notice u/s 144 proposing:</w:t>
            </w:r>
          </w:p>
          <w:p w14:paraId="4645B91C" w14:textId="77777777" w:rsidR="00776F99" w:rsidRDefault="00000000">
            <w:pPr>
              <w:spacing w:after="30"/>
            </w:pPr>
            <w:r>
              <w:rPr>
                <w:rFonts w:ascii="Courier New" w:eastAsia="Courier New" w:hAnsi="Courier New" w:cs="Courier New"/>
                <w:color w:val="1A1A2E"/>
                <w:sz w:val="18"/>
                <w:szCs w:val="18"/>
              </w:rPr>
              <w:t>1. Rejection of books u/s 145(3) — non-submission of details</w:t>
            </w:r>
          </w:p>
          <w:p w14:paraId="4645B91D" w14:textId="77777777" w:rsidR="00776F99" w:rsidRDefault="00000000">
            <w:pPr>
              <w:spacing w:after="30"/>
            </w:pPr>
            <w:r>
              <w:rPr>
                <w:rFonts w:ascii="Courier New" w:eastAsia="Courier New" w:hAnsi="Courier New" w:cs="Courier New"/>
                <w:color w:val="1A1A2E"/>
                <w:sz w:val="18"/>
                <w:szCs w:val="18"/>
              </w:rPr>
              <w:t>2. Best judgment assessment at 30% NP on turnover of Rs.10,24,00,000/-</w:t>
            </w:r>
          </w:p>
          <w:p w14:paraId="4645B91E" w14:textId="77777777" w:rsidR="00776F99" w:rsidRDefault="00000000">
            <w:pPr>
              <w:spacing w:after="30"/>
            </w:pPr>
            <w:r>
              <w:rPr>
                <w:rFonts w:ascii="Courier New" w:eastAsia="Courier New" w:hAnsi="Courier New" w:cs="Courier New"/>
                <w:color w:val="1A1A2E"/>
                <w:sz w:val="18"/>
                <w:szCs w:val="18"/>
              </w:rPr>
              <w:t>3. Addition of Rs.3,04,05,800/- (assessed Rs.3,07,20,000 minus returned Rs.3,14,200)</w:t>
            </w:r>
          </w:p>
          <w:p w14:paraId="4645B91F" w14:textId="77777777" w:rsidR="00776F99" w:rsidRDefault="00000000">
            <w:pPr>
              <w:spacing w:after="30"/>
            </w:pPr>
            <w:r>
              <w:rPr>
                <w:rFonts w:ascii="Courier New" w:eastAsia="Courier New" w:hAnsi="Courier New" w:cs="Courier New"/>
                <w:color w:val="1A1A2E"/>
                <w:sz w:val="18"/>
                <w:szCs w:val="18"/>
              </w:rPr>
              <w:t>4. Penalty u/s 270</w:t>
            </w:r>
            <w:proofErr w:type="gramStart"/>
            <w:r>
              <w:rPr>
                <w:rFonts w:ascii="Courier New" w:eastAsia="Courier New" w:hAnsi="Courier New" w:cs="Courier New"/>
                <w:color w:val="1A1A2E"/>
                <w:sz w:val="18"/>
                <w:szCs w:val="18"/>
              </w:rPr>
              <w:t>A(</w:t>
            </w:r>
            <w:proofErr w:type="gramEnd"/>
            <w:r>
              <w:rPr>
                <w:rFonts w:ascii="Courier New" w:eastAsia="Courier New" w:hAnsi="Courier New" w:cs="Courier New"/>
                <w:color w:val="1A1A2E"/>
                <w:sz w:val="18"/>
                <w:szCs w:val="18"/>
              </w:rPr>
              <w:t xml:space="preserve">9) </w:t>
            </w:r>
            <w:proofErr w:type="spellStart"/>
            <w:r>
              <w:rPr>
                <w:rFonts w:ascii="Courier New" w:eastAsia="Courier New" w:hAnsi="Courier New" w:cs="Courier New"/>
                <w:color w:val="1A1A2E"/>
                <w:sz w:val="18"/>
                <w:szCs w:val="18"/>
              </w:rPr>
              <w:t>r.w.s</w:t>
            </w:r>
            <w:proofErr w:type="spellEnd"/>
            <w:r>
              <w:rPr>
                <w:rFonts w:ascii="Courier New" w:eastAsia="Courier New" w:hAnsi="Courier New" w:cs="Courier New"/>
                <w:color w:val="1A1A2E"/>
                <w:sz w:val="18"/>
                <w:szCs w:val="18"/>
              </w:rPr>
              <w:t>. 270</w:t>
            </w:r>
            <w:proofErr w:type="gramStart"/>
            <w:r>
              <w:rPr>
                <w:rFonts w:ascii="Courier New" w:eastAsia="Courier New" w:hAnsi="Courier New" w:cs="Courier New"/>
                <w:color w:val="1A1A2E"/>
                <w:sz w:val="18"/>
                <w:szCs w:val="18"/>
              </w:rPr>
              <w:t>A(</w:t>
            </w:r>
            <w:proofErr w:type="gramEnd"/>
            <w:r>
              <w:rPr>
                <w:rFonts w:ascii="Courier New" w:eastAsia="Courier New" w:hAnsi="Courier New" w:cs="Courier New"/>
                <w:color w:val="1A1A2E"/>
                <w:sz w:val="18"/>
                <w:szCs w:val="18"/>
              </w:rPr>
              <w:t xml:space="preserve">8) for </w:t>
            </w:r>
            <w:proofErr w:type="gramStart"/>
            <w:r>
              <w:rPr>
                <w:rFonts w:ascii="Courier New" w:eastAsia="Courier New" w:hAnsi="Courier New" w:cs="Courier New"/>
                <w:color w:val="1A1A2E"/>
                <w:sz w:val="18"/>
                <w:szCs w:val="18"/>
              </w:rPr>
              <w:t>mis-reporting</w:t>
            </w:r>
            <w:proofErr w:type="gramEnd"/>
          </w:p>
          <w:p w14:paraId="4645B920" w14:textId="77777777" w:rsidR="00776F99" w:rsidRDefault="00000000">
            <w:pPr>
              <w:spacing w:after="30"/>
            </w:pPr>
            <w:r>
              <w:rPr>
                <w:rFonts w:ascii="Courier New" w:eastAsia="Courier New" w:hAnsi="Courier New" w:cs="Courier New"/>
                <w:color w:val="1A1A2E"/>
                <w:sz w:val="18"/>
                <w:szCs w:val="18"/>
              </w:rPr>
              <w:t>5. Penalty u/s 272A(1)(d) for non-compliance with notices u/s 142(1)</w:t>
            </w:r>
          </w:p>
          <w:p w14:paraId="4645B921" w14:textId="77777777" w:rsidR="00776F99" w:rsidRDefault="00776F99">
            <w:pPr>
              <w:spacing w:after="80"/>
            </w:pPr>
          </w:p>
          <w:p w14:paraId="4645B922" w14:textId="77777777" w:rsidR="00776F99" w:rsidRDefault="00000000">
            <w:pPr>
              <w:spacing w:after="30"/>
            </w:pPr>
            <w:r>
              <w:rPr>
                <w:rFonts w:ascii="Courier New" w:eastAsia="Courier New" w:hAnsi="Courier New" w:cs="Courier New"/>
                <w:color w:val="1A1A2E"/>
                <w:sz w:val="18"/>
                <w:szCs w:val="18"/>
              </w:rPr>
              <w:t>Key facts:</w:t>
            </w:r>
          </w:p>
          <w:p w14:paraId="4645B923" w14:textId="77777777" w:rsidR="00776F99" w:rsidRDefault="00000000">
            <w:pPr>
              <w:spacing w:after="30"/>
            </w:pPr>
            <w:r>
              <w:rPr>
                <w:rFonts w:ascii="Courier New" w:eastAsia="Courier New" w:hAnsi="Courier New" w:cs="Courier New"/>
                <w:color w:val="1A1A2E"/>
                <w:sz w:val="18"/>
                <w:szCs w:val="18"/>
              </w:rPr>
              <w:t>- Assessee claims notices u/s 143(2) and 142(1) were not received</w:t>
            </w:r>
          </w:p>
          <w:p w14:paraId="4645B924" w14:textId="77777777" w:rsidR="00776F99" w:rsidRDefault="00000000">
            <w:pPr>
              <w:spacing w:after="30"/>
            </w:pPr>
            <w:r>
              <w:rPr>
                <w:rFonts w:ascii="Courier New" w:eastAsia="Courier New" w:hAnsi="Courier New" w:cs="Courier New"/>
                <w:color w:val="1A1A2E"/>
                <w:sz w:val="18"/>
                <w:szCs w:val="18"/>
              </w:rPr>
              <w:t>- Assessee responded immediately on 29.11.2025 upon learning of proceedings</w:t>
            </w:r>
          </w:p>
          <w:p w14:paraId="4645B925" w14:textId="77777777" w:rsidR="00776F99" w:rsidRDefault="00000000">
            <w:pPr>
              <w:spacing w:after="30"/>
            </w:pPr>
            <w:r>
              <w:rPr>
                <w:rFonts w:ascii="Courier New" w:eastAsia="Courier New" w:hAnsi="Courier New" w:cs="Courier New"/>
                <w:color w:val="1A1A2E"/>
                <w:sz w:val="18"/>
                <w:szCs w:val="18"/>
              </w:rPr>
              <w:t>- Business is correspondence education — thin margin sector</w:t>
            </w:r>
          </w:p>
          <w:p w14:paraId="4645B926" w14:textId="77777777" w:rsidR="00776F99" w:rsidRDefault="00000000">
            <w:pPr>
              <w:spacing w:after="30"/>
            </w:pPr>
            <w:r>
              <w:rPr>
                <w:rFonts w:ascii="Courier New" w:eastAsia="Courier New" w:hAnsi="Courier New" w:cs="Courier New"/>
                <w:color w:val="1A1A2E"/>
                <w:sz w:val="18"/>
                <w:szCs w:val="18"/>
              </w:rPr>
              <w:t>- All receipts are through banking channels</w:t>
            </w:r>
          </w:p>
          <w:p w14:paraId="4645B927" w14:textId="77777777" w:rsidR="00776F99" w:rsidRDefault="00000000">
            <w:pPr>
              <w:spacing w:after="30"/>
            </w:pPr>
            <w:r>
              <w:rPr>
                <w:rFonts w:ascii="Courier New" w:eastAsia="Courier New" w:hAnsi="Courier New" w:cs="Courier New"/>
                <w:color w:val="1A1A2E"/>
                <w:sz w:val="18"/>
                <w:szCs w:val="18"/>
              </w:rPr>
              <w:t>- Assessee is prepared to furnish all records if given time</w:t>
            </w:r>
          </w:p>
          <w:p w14:paraId="4645B928" w14:textId="77777777" w:rsidR="00776F99" w:rsidRDefault="00776F99">
            <w:pPr>
              <w:spacing w:after="80"/>
            </w:pPr>
          </w:p>
          <w:p w14:paraId="4645B929" w14:textId="77777777" w:rsidR="00776F99" w:rsidRDefault="00000000">
            <w:pPr>
              <w:spacing w:after="30"/>
            </w:pPr>
            <w:r>
              <w:rPr>
                <w:rFonts w:ascii="Courier New" w:eastAsia="Courier New" w:hAnsi="Courier New" w:cs="Courier New"/>
                <w:color w:val="1A1A2E"/>
                <w:sz w:val="18"/>
                <w:szCs w:val="18"/>
              </w:rPr>
              <w:t>Draft a complete reply to the SCN addressing all five grounds above.</w:t>
            </w:r>
          </w:p>
          <w:p w14:paraId="4645B92A" w14:textId="77777777" w:rsidR="00776F99" w:rsidRDefault="00000000">
            <w:pPr>
              <w:spacing w:after="30"/>
            </w:pPr>
            <w:r>
              <w:rPr>
                <w:rFonts w:ascii="Courier New" w:eastAsia="Courier New" w:hAnsi="Courier New" w:cs="Courier New"/>
                <w:color w:val="1A1A2E"/>
                <w:sz w:val="18"/>
                <w:szCs w:val="18"/>
              </w:rPr>
              <w:t>Cite relevant case laws and ITA 1961 sections throughout.</w:t>
            </w:r>
          </w:p>
          <w:p w14:paraId="4645B92B" w14:textId="77777777" w:rsidR="00776F99" w:rsidRDefault="00000000">
            <w:pPr>
              <w:spacing w:after="30"/>
            </w:pPr>
            <w:r>
              <w:rPr>
                <w:rFonts w:ascii="Courier New" w:eastAsia="Courier New" w:hAnsi="Courier New" w:cs="Courier New"/>
                <w:color w:val="1A1A2E"/>
                <w:sz w:val="18"/>
                <w:szCs w:val="18"/>
              </w:rPr>
              <w:t>Include a prayer clause covering all reliefs.</w:t>
            </w:r>
          </w:p>
          <w:p w14:paraId="4645B92C" w14:textId="77777777" w:rsidR="00776F99" w:rsidRDefault="00000000">
            <w:pPr>
              <w:spacing w:after="30"/>
            </w:pPr>
            <w:r>
              <w:rPr>
                <w:rFonts w:ascii="Courier New" w:eastAsia="Courier New" w:hAnsi="Courier New" w:cs="Courier New"/>
                <w:color w:val="1A1A2E"/>
                <w:sz w:val="18"/>
                <w:szCs w:val="18"/>
              </w:rPr>
              <w:t>Use formal legal language appropriate for Income Tax proceedings.</w:t>
            </w:r>
          </w:p>
        </w:tc>
      </w:tr>
    </w:tbl>
    <w:p w14:paraId="4645B92E" w14:textId="77777777" w:rsidR="00776F99" w:rsidRDefault="00776F99">
      <w:pPr>
        <w:spacing w:after="80"/>
      </w:pPr>
    </w:p>
    <w:p w14:paraId="4645B92F" w14:textId="77777777" w:rsidR="00776F99" w:rsidRDefault="00000000">
      <w:pPr>
        <w:shd w:val="clear" w:color="auto" w:fill="2E75B6"/>
        <w:spacing w:before="240"/>
      </w:pPr>
      <w:r>
        <w:rPr>
          <w:b/>
          <w:bCs/>
          <w:color w:val="FFFFFF"/>
        </w:rPr>
        <w:t>LIVE DEMO PROMPT — STAGE 2: GROUNDS OF APPEAL FOR CIT(A)</w:t>
      </w:r>
    </w:p>
    <w:p w14:paraId="4645B930" w14:textId="77777777" w:rsidR="00776F99" w:rsidRDefault="00776F99">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76F99" w14:paraId="4645B939" w14:textId="77777777">
        <w:tblPrEx>
          <w:tblCellMar>
            <w:top w:w="0" w:type="dxa"/>
            <w:bottom w:w="0" w:type="dxa"/>
          </w:tblCellMar>
        </w:tblPrEx>
        <w:tc>
          <w:tcPr>
            <w:tcW w:w="9360" w:type="dxa"/>
            <w:tcBorders>
              <w:top w:val="single" w:sz="4" w:space="0" w:color="2E75B6"/>
              <w:left w:val="thick" w:sz="12" w:space="0" w:color="2E75B6"/>
              <w:bottom w:val="single" w:sz="4" w:space="0" w:color="2E75B6"/>
              <w:right w:val="single" w:sz="4" w:space="0" w:color="2E75B6"/>
            </w:tcBorders>
            <w:shd w:val="clear" w:color="auto" w:fill="EAF3FF"/>
            <w:tcMar>
              <w:top w:w="120" w:type="dxa"/>
              <w:left w:w="200" w:type="dxa"/>
              <w:bottom w:w="120" w:type="dxa"/>
              <w:right w:w="200" w:type="dxa"/>
            </w:tcMar>
          </w:tcPr>
          <w:p w14:paraId="4645B931" w14:textId="77777777" w:rsidR="00776F99" w:rsidRDefault="00000000">
            <w:pPr>
              <w:spacing w:after="30"/>
            </w:pPr>
            <w:r>
              <w:rPr>
                <w:rFonts w:ascii="Courier New" w:eastAsia="Courier New" w:hAnsi="Courier New" w:cs="Courier New"/>
                <w:color w:val="1A1A2E"/>
                <w:sz w:val="18"/>
                <w:szCs w:val="18"/>
              </w:rPr>
              <w:t>The Assessing Officer has passed the order confirming the addition of</w:t>
            </w:r>
          </w:p>
          <w:p w14:paraId="4645B932" w14:textId="77777777" w:rsidR="00776F99" w:rsidRDefault="00000000">
            <w:pPr>
              <w:spacing w:after="30"/>
            </w:pPr>
            <w:r>
              <w:rPr>
                <w:rFonts w:ascii="Courier New" w:eastAsia="Courier New" w:hAnsi="Courier New" w:cs="Courier New"/>
                <w:color w:val="1A1A2E"/>
                <w:sz w:val="18"/>
                <w:szCs w:val="18"/>
              </w:rPr>
              <w:t>Rs.3,04,05,800/- and initiating penalty u/s 270A.</w:t>
            </w:r>
          </w:p>
          <w:p w14:paraId="4645B933" w14:textId="77777777" w:rsidR="00776F99" w:rsidRDefault="00776F99">
            <w:pPr>
              <w:spacing w:after="80"/>
            </w:pPr>
          </w:p>
          <w:p w14:paraId="4645B934" w14:textId="77777777" w:rsidR="00776F99" w:rsidRDefault="00000000">
            <w:pPr>
              <w:spacing w:after="30"/>
            </w:pPr>
            <w:r>
              <w:rPr>
                <w:rFonts w:ascii="Courier New" w:eastAsia="Courier New" w:hAnsi="Courier New" w:cs="Courier New"/>
                <w:color w:val="1A1A2E"/>
                <w:sz w:val="18"/>
                <w:szCs w:val="18"/>
              </w:rPr>
              <w:t>Draft the Grounds of Appeal to be filed before CIT(A) in Form 35.</w:t>
            </w:r>
          </w:p>
          <w:p w14:paraId="4645B935" w14:textId="77777777" w:rsidR="00776F99" w:rsidRDefault="00000000">
            <w:pPr>
              <w:spacing w:after="30"/>
            </w:pPr>
            <w:r>
              <w:rPr>
                <w:rFonts w:ascii="Courier New" w:eastAsia="Courier New" w:hAnsi="Courier New" w:cs="Courier New"/>
                <w:color w:val="1A1A2E"/>
                <w:sz w:val="18"/>
                <w:szCs w:val="18"/>
              </w:rPr>
              <w:t>Address: (1) rejection of books u/s 145(3), (2) 30% NP estimation,</w:t>
            </w:r>
          </w:p>
          <w:p w14:paraId="4645B936" w14:textId="77777777" w:rsidR="00776F99" w:rsidRDefault="00000000">
            <w:pPr>
              <w:spacing w:after="30"/>
            </w:pPr>
            <w:r>
              <w:rPr>
                <w:rFonts w:ascii="Courier New" w:eastAsia="Courier New" w:hAnsi="Courier New" w:cs="Courier New"/>
                <w:color w:val="1A1A2E"/>
                <w:sz w:val="18"/>
                <w:szCs w:val="18"/>
              </w:rPr>
              <w:t>(3) quantum of addition, (4) penalty u/s 270A.</w:t>
            </w:r>
          </w:p>
          <w:p w14:paraId="4645B937" w14:textId="77777777" w:rsidR="00776F99" w:rsidRDefault="00000000">
            <w:pPr>
              <w:spacing w:after="30"/>
            </w:pPr>
            <w:r>
              <w:rPr>
                <w:rFonts w:ascii="Courier New" w:eastAsia="Courier New" w:hAnsi="Courier New" w:cs="Courier New"/>
                <w:color w:val="1A1A2E"/>
                <w:sz w:val="18"/>
                <w:szCs w:val="18"/>
              </w:rPr>
              <w:t>Include a general ground. Cite at least 3 ITAT/HC precedents.</w:t>
            </w:r>
          </w:p>
          <w:p w14:paraId="4645B938" w14:textId="77777777" w:rsidR="00776F99" w:rsidRDefault="00000000">
            <w:pPr>
              <w:spacing w:after="30"/>
            </w:pPr>
            <w:r>
              <w:rPr>
                <w:rFonts w:ascii="Courier New" w:eastAsia="Courier New" w:hAnsi="Courier New" w:cs="Courier New"/>
                <w:color w:val="1A1A2E"/>
                <w:sz w:val="18"/>
                <w:szCs w:val="18"/>
              </w:rPr>
              <w:lastRenderedPageBreak/>
              <w:t>Draft in standard Form 35 language.</w:t>
            </w:r>
          </w:p>
        </w:tc>
      </w:tr>
    </w:tbl>
    <w:p w14:paraId="4645B93A" w14:textId="77777777" w:rsidR="00776F99" w:rsidRDefault="00776F99">
      <w:pPr>
        <w:spacing w:after="80"/>
      </w:pPr>
    </w:p>
    <w:p w14:paraId="4645B93B" w14:textId="77777777" w:rsidR="00776F99" w:rsidRDefault="00000000">
      <w:pPr>
        <w:shd w:val="clear" w:color="auto" w:fill="2E75B6"/>
        <w:spacing w:before="240"/>
      </w:pPr>
      <w:r>
        <w:rPr>
          <w:b/>
          <w:bCs/>
          <w:color w:val="FFFFFF"/>
        </w:rPr>
        <w:t>EXPECTED OUTPUT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776F99" w14:paraId="4645B943" w14:textId="77777777">
        <w:tblPrEx>
          <w:tblCellMar>
            <w:top w:w="0" w:type="dxa"/>
            <w:bottom w:w="0" w:type="dxa"/>
          </w:tblCellMar>
        </w:tblPrEx>
        <w:tc>
          <w:tcPr>
            <w:tcW w:w="2000" w:type="dxa"/>
            <w:tcBorders>
              <w:top w:val="single" w:sz="1" w:space="0" w:color="BBBBBB"/>
              <w:left w:val="single" w:sz="1" w:space="0" w:color="BBBBBB"/>
              <w:bottom w:val="single" w:sz="1" w:space="0" w:color="BBBBBB"/>
              <w:right w:val="single" w:sz="1" w:space="0" w:color="BBBBBB"/>
            </w:tcBorders>
            <w:shd w:val="clear" w:color="auto" w:fill="F2F2F2"/>
            <w:tcMar>
              <w:top w:w="80" w:type="dxa"/>
              <w:left w:w="120" w:type="dxa"/>
              <w:bottom w:w="80" w:type="dxa"/>
              <w:right w:w="120" w:type="dxa"/>
            </w:tcMar>
          </w:tcPr>
          <w:p w14:paraId="4645B93C" w14:textId="77777777" w:rsidR="00776F99" w:rsidRDefault="00776F99"/>
        </w:tc>
        <w:tc>
          <w:tcPr>
            <w:tcW w:w="7360" w:type="dxa"/>
            <w:tcBorders>
              <w:top w:val="single" w:sz="1" w:space="0" w:color="BBBBBB"/>
              <w:left w:val="single" w:sz="1" w:space="0" w:color="BBBBBB"/>
              <w:bottom w:val="single" w:sz="1" w:space="0" w:color="BBBBBB"/>
              <w:right w:val="single" w:sz="1" w:space="0" w:color="BBBBBB"/>
            </w:tcBorders>
            <w:shd w:val="clear" w:color="auto" w:fill="F9F9F9"/>
            <w:tcMar>
              <w:top w:w="80" w:type="dxa"/>
              <w:left w:w="120" w:type="dxa"/>
              <w:bottom w:w="80" w:type="dxa"/>
              <w:right w:w="120" w:type="dxa"/>
            </w:tcMar>
          </w:tcPr>
          <w:p w14:paraId="4645B93D" w14:textId="77777777" w:rsidR="00776F99" w:rsidRDefault="00000000">
            <w:pPr>
              <w:pStyle w:val="ListParagraph"/>
              <w:numPr>
                <w:ilvl w:val="0"/>
                <w:numId w:val="2"/>
              </w:numPr>
              <w:spacing w:after="60"/>
            </w:pPr>
            <w:r>
              <w:t>A structured SCN reply with numbered grounds — each ground of the notice addressed separately with legal argument and case law.</w:t>
            </w:r>
          </w:p>
          <w:p w14:paraId="4645B93E" w14:textId="77777777" w:rsidR="00776F99" w:rsidRDefault="00000000">
            <w:pPr>
              <w:pStyle w:val="ListParagraph"/>
              <w:numPr>
                <w:ilvl w:val="0"/>
                <w:numId w:val="2"/>
              </w:numPr>
              <w:spacing w:after="60"/>
            </w:pPr>
            <w:r>
              <w:t>Section citations appearing correctly throughout — Section 144, 145(3), 142(1), 270A, 272A(1)(d).</w:t>
            </w:r>
          </w:p>
          <w:p w14:paraId="4645B93F" w14:textId="77777777" w:rsidR="00776F99" w:rsidRDefault="00000000">
            <w:pPr>
              <w:pStyle w:val="ListParagraph"/>
              <w:numPr>
                <w:ilvl w:val="0"/>
                <w:numId w:val="2"/>
              </w:numPr>
              <w:spacing w:after="60"/>
            </w:pPr>
            <w:r>
              <w:t>A challenge to the 30% NP rate with sector-specific commercial reasoning — education sector margins are typically 5 to 15%, not 30%.</w:t>
            </w:r>
          </w:p>
          <w:p w14:paraId="4645B940" w14:textId="77777777" w:rsidR="00776F99" w:rsidRDefault="00000000">
            <w:pPr>
              <w:pStyle w:val="ListParagraph"/>
              <w:numPr>
                <w:ilvl w:val="0"/>
                <w:numId w:val="2"/>
              </w:numPr>
              <w:spacing w:after="60"/>
            </w:pPr>
            <w:r>
              <w:t>Case law citations supporting rejection of arbitrary NP estimation and books rejection for procedural non-compliance.</w:t>
            </w:r>
          </w:p>
          <w:p w14:paraId="4645B941" w14:textId="77777777" w:rsidR="00776F99" w:rsidRDefault="00000000">
            <w:pPr>
              <w:pStyle w:val="ListParagraph"/>
              <w:numPr>
                <w:ilvl w:val="0"/>
                <w:numId w:val="2"/>
              </w:numPr>
              <w:spacing w:after="60"/>
            </w:pPr>
            <w:r>
              <w:t>A complete prayer clause requesting dropping of additions, waiver of penalties, and opportunity to submit all records.</w:t>
            </w:r>
          </w:p>
          <w:p w14:paraId="4645B942" w14:textId="77777777" w:rsidR="00776F99" w:rsidRDefault="00000000">
            <w:pPr>
              <w:pStyle w:val="ListParagraph"/>
              <w:numPr>
                <w:ilvl w:val="0"/>
                <w:numId w:val="2"/>
              </w:numPr>
              <w:spacing w:after="60"/>
            </w:pPr>
            <w:r>
              <w:t>Form 35-ready grounds of appeal from Stage 2 — numbered, legally worded, with precedents.</w:t>
            </w:r>
          </w:p>
        </w:tc>
      </w:tr>
    </w:tbl>
    <w:p w14:paraId="4645B944" w14:textId="77777777" w:rsidR="00776F99" w:rsidRDefault="00776F99">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76F99" w14:paraId="4645B947" w14:textId="77777777">
        <w:tblPrEx>
          <w:tblCellMar>
            <w:top w:w="0" w:type="dxa"/>
            <w:bottom w:w="0" w:type="dxa"/>
          </w:tblCellMar>
        </w:tblPrEx>
        <w:tc>
          <w:tcPr>
            <w:tcW w:w="9360" w:type="dxa"/>
            <w:tcBorders>
              <w:top w:val="single" w:sz="4" w:space="0" w:color="1F7A4D"/>
              <w:left w:val="thick" w:sz="12" w:space="0" w:color="1F7A4D"/>
              <w:bottom w:val="single" w:sz="4" w:space="0" w:color="1F7A4D"/>
              <w:right w:val="single" w:sz="4" w:space="0" w:color="1F7A4D"/>
            </w:tcBorders>
            <w:shd w:val="clear" w:color="auto" w:fill="F0FBF5"/>
            <w:tcMar>
              <w:top w:w="120" w:type="dxa"/>
              <w:left w:w="200" w:type="dxa"/>
              <w:bottom w:w="120" w:type="dxa"/>
              <w:right w:w="200" w:type="dxa"/>
            </w:tcMar>
          </w:tcPr>
          <w:p w14:paraId="4645B945" w14:textId="77777777" w:rsidR="00776F99" w:rsidRDefault="00000000">
            <w:pPr>
              <w:spacing w:after="80"/>
            </w:pPr>
            <w:r>
              <w:rPr>
                <w:b/>
                <w:bCs/>
                <w:color w:val="1F7A4D"/>
              </w:rPr>
              <w:t>WOW FACTOR</w:t>
            </w:r>
          </w:p>
          <w:p w14:paraId="4645B946" w14:textId="77777777" w:rsidR="00776F99" w:rsidRDefault="00000000">
            <w:r>
              <w:t>A reply that a senior tax practitioner would take 3 to 4 hours to research and draft — with ground-by-ground arguments, correct section references, and case law citations — produced in under 3 minutes, ready for the CA's review and refinement.</w:t>
            </w:r>
          </w:p>
        </w:tc>
      </w:tr>
    </w:tbl>
    <w:p w14:paraId="4645B948" w14:textId="77777777" w:rsidR="00776F99" w:rsidRDefault="00776F99">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76F99" w14:paraId="4645B951" w14:textId="77777777">
        <w:tblPrEx>
          <w:tblCellMar>
            <w:top w:w="0" w:type="dxa"/>
            <w:bottom w:w="0" w:type="dxa"/>
          </w:tblCellMar>
        </w:tblPrEx>
        <w:tc>
          <w:tcPr>
            <w:tcW w:w="9360" w:type="dxa"/>
            <w:tcBorders>
              <w:top w:val="single" w:sz="4" w:space="0" w:color="C0392B"/>
              <w:left w:val="thick" w:sz="12" w:space="0" w:color="C0392B"/>
              <w:bottom w:val="single" w:sz="4" w:space="0" w:color="C0392B"/>
              <w:right w:val="single" w:sz="4" w:space="0" w:color="C0392B"/>
            </w:tcBorders>
            <w:shd w:val="clear" w:color="auto" w:fill="FDF2F0"/>
            <w:tcMar>
              <w:top w:w="120" w:type="dxa"/>
              <w:left w:w="200" w:type="dxa"/>
              <w:bottom w:w="120" w:type="dxa"/>
              <w:right w:w="200" w:type="dxa"/>
            </w:tcMar>
          </w:tcPr>
          <w:p w14:paraId="4645B949" w14:textId="77777777" w:rsidR="00776F99" w:rsidRDefault="00000000">
            <w:pPr>
              <w:spacing w:after="80"/>
            </w:pPr>
            <w:r>
              <w:rPr>
                <w:b/>
                <w:bCs/>
                <w:color w:val="C0392B"/>
              </w:rPr>
              <w:t>CAUTION / LIMITATION</w:t>
            </w:r>
          </w:p>
          <w:p w14:paraId="4645B94A" w14:textId="77777777" w:rsidR="00776F99" w:rsidRDefault="00000000">
            <w:pPr>
              <w:spacing w:after="60"/>
            </w:pPr>
            <w:r>
              <w:t>Case law citations are the single biggest risk in this use case. AI frequently generates plausible-sounding but incorrect citations — wrong year, wrong bench, wrong ratio, or citations that simply do not exist. Every case law cited by AI must be verified on a legal database (SCC Online, ITR, Taxmann, Income Tax India) before the reply is filed.</w:t>
            </w:r>
          </w:p>
          <w:p w14:paraId="4645B94B" w14:textId="77777777" w:rsidR="00776F99" w:rsidRDefault="00776F99">
            <w:pPr>
              <w:spacing w:after="60"/>
            </w:pPr>
          </w:p>
          <w:p w14:paraId="4645B94C" w14:textId="77777777" w:rsidR="00776F99" w:rsidRDefault="00000000">
            <w:pPr>
              <w:spacing w:after="60"/>
            </w:pPr>
            <w:r>
              <w:t>The AI does not know the specific facts of prior assessment years, the assessee's actual books, or the history of dealings with the department. The CA must add client-specific facts before filing.</w:t>
            </w:r>
          </w:p>
          <w:p w14:paraId="4645B94D" w14:textId="77777777" w:rsidR="00776F99" w:rsidRDefault="00776F99">
            <w:pPr>
              <w:spacing w:after="60"/>
            </w:pPr>
          </w:p>
          <w:p w14:paraId="4645B94E" w14:textId="77777777" w:rsidR="00776F99" w:rsidRDefault="00000000">
            <w:pPr>
              <w:spacing w:after="60"/>
            </w:pPr>
            <w:r>
              <w:t>The reply is a first draft. The tone, strategy, and specific arguments must be reviewed and adjusted based on the CA's professional judgment about the strength of each ground and the specific officer handling the case.</w:t>
            </w:r>
          </w:p>
          <w:p w14:paraId="4645B94F" w14:textId="77777777" w:rsidR="00776F99" w:rsidRDefault="00776F99">
            <w:pPr>
              <w:spacing w:after="60"/>
            </w:pPr>
          </w:p>
          <w:p w14:paraId="4645B950" w14:textId="77777777" w:rsidR="00776F99" w:rsidRDefault="00000000">
            <w:pPr>
              <w:spacing w:after="60"/>
            </w:pPr>
            <w:r>
              <w:t>Filing a reply with incorrect case law citations is worse than not citing any — it damages credibility before the AO. Verify every citation. No exceptions.</w:t>
            </w:r>
          </w:p>
        </w:tc>
      </w:tr>
    </w:tbl>
    <w:p w14:paraId="4645B952" w14:textId="77777777" w:rsidR="00776F99" w:rsidRDefault="00776F99">
      <w:pPr>
        <w:spacing w:after="80"/>
      </w:pPr>
    </w:p>
    <w:p w14:paraId="4645B953" w14:textId="77777777" w:rsidR="00776F99" w:rsidRDefault="00000000">
      <w:pPr>
        <w:shd w:val="clear" w:color="auto" w:fill="2E75B6"/>
        <w:spacing w:before="240"/>
      </w:pPr>
      <w:r>
        <w:rPr>
          <w:b/>
          <w:bCs/>
          <w:color w:val="FFFFFF"/>
        </w:rPr>
        <w:t>APPLICABLE SECTIONS AND LAW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776F99" w14:paraId="4645B95E" w14:textId="77777777">
        <w:tblPrEx>
          <w:tblCellMar>
            <w:top w:w="0" w:type="dxa"/>
            <w:bottom w:w="0" w:type="dxa"/>
          </w:tblCellMar>
        </w:tblPrEx>
        <w:tc>
          <w:tcPr>
            <w:tcW w:w="2000" w:type="dxa"/>
            <w:tcBorders>
              <w:top w:val="single" w:sz="1" w:space="0" w:color="BBBBBB"/>
              <w:left w:val="single" w:sz="1" w:space="0" w:color="BBBBBB"/>
              <w:bottom w:val="single" w:sz="1" w:space="0" w:color="BBBBBB"/>
              <w:right w:val="single" w:sz="1" w:space="0" w:color="BBBBBB"/>
            </w:tcBorders>
            <w:shd w:val="clear" w:color="auto" w:fill="F2F2F2"/>
            <w:tcMar>
              <w:top w:w="80" w:type="dxa"/>
              <w:left w:w="120" w:type="dxa"/>
              <w:bottom w:w="80" w:type="dxa"/>
              <w:right w:w="120" w:type="dxa"/>
            </w:tcMar>
          </w:tcPr>
          <w:p w14:paraId="4645B954" w14:textId="77777777" w:rsidR="00776F99" w:rsidRDefault="00776F99"/>
        </w:tc>
        <w:tc>
          <w:tcPr>
            <w:tcW w:w="7360"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645B955" w14:textId="77777777" w:rsidR="00776F99" w:rsidRDefault="00000000">
            <w:pPr>
              <w:pStyle w:val="ListParagraph"/>
              <w:numPr>
                <w:ilvl w:val="0"/>
                <w:numId w:val="2"/>
              </w:numPr>
              <w:spacing w:after="60"/>
            </w:pPr>
            <w:r>
              <w:t>Income Tax Act 1961 — Section 144 (Best Judgment Assessment)</w:t>
            </w:r>
          </w:p>
          <w:p w14:paraId="4645B956" w14:textId="77777777" w:rsidR="00776F99" w:rsidRDefault="00000000">
            <w:pPr>
              <w:pStyle w:val="ListParagraph"/>
              <w:numPr>
                <w:ilvl w:val="0"/>
                <w:numId w:val="2"/>
              </w:numPr>
              <w:spacing w:after="60"/>
            </w:pPr>
            <w:r>
              <w:t>Income Tax Act 1961 — Section 145(3) (Rejection of Books)</w:t>
            </w:r>
          </w:p>
          <w:p w14:paraId="4645B957" w14:textId="77777777" w:rsidR="00776F99" w:rsidRDefault="00000000">
            <w:pPr>
              <w:pStyle w:val="ListParagraph"/>
              <w:numPr>
                <w:ilvl w:val="0"/>
                <w:numId w:val="2"/>
              </w:numPr>
              <w:spacing w:after="60"/>
            </w:pPr>
            <w:r>
              <w:t>Income Tax Act 1961 — Section 142(1) (Notice for Information)</w:t>
            </w:r>
          </w:p>
          <w:p w14:paraId="4645B958" w14:textId="77777777" w:rsidR="00776F99" w:rsidRDefault="00000000">
            <w:pPr>
              <w:pStyle w:val="ListParagraph"/>
              <w:numPr>
                <w:ilvl w:val="0"/>
                <w:numId w:val="2"/>
              </w:numPr>
              <w:spacing w:after="60"/>
            </w:pPr>
            <w:r>
              <w:t>Income Tax Act 1961 — Section 143(2) (Scrutiny Notice)</w:t>
            </w:r>
          </w:p>
          <w:p w14:paraId="4645B959" w14:textId="77777777" w:rsidR="00776F99" w:rsidRDefault="00000000">
            <w:pPr>
              <w:pStyle w:val="ListParagraph"/>
              <w:numPr>
                <w:ilvl w:val="0"/>
                <w:numId w:val="2"/>
              </w:numPr>
              <w:spacing w:after="60"/>
            </w:pPr>
            <w:r>
              <w:t>Income Tax Act 1961 — Section 270</w:t>
            </w:r>
            <w:proofErr w:type="gramStart"/>
            <w:r>
              <w:t>A(</w:t>
            </w:r>
            <w:proofErr w:type="gramEnd"/>
            <w:r>
              <w:t>8) and 270</w:t>
            </w:r>
            <w:proofErr w:type="gramStart"/>
            <w:r>
              <w:t>A(</w:t>
            </w:r>
            <w:proofErr w:type="gramEnd"/>
            <w:r>
              <w:t xml:space="preserve">9) (Penalty for </w:t>
            </w:r>
            <w:proofErr w:type="gramStart"/>
            <w:r>
              <w:t>Mis-reporting</w:t>
            </w:r>
            <w:proofErr w:type="gramEnd"/>
            <w:r>
              <w:t>)</w:t>
            </w:r>
          </w:p>
          <w:p w14:paraId="4645B95A" w14:textId="77777777" w:rsidR="00776F99" w:rsidRDefault="00000000">
            <w:pPr>
              <w:pStyle w:val="ListParagraph"/>
              <w:numPr>
                <w:ilvl w:val="0"/>
                <w:numId w:val="2"/>
              </w:numPr>
              <w:spacing w:after="60"/>
            </w:pPr>
            <w:r>
              <w:t>Income Tax Act 1961 — Section 272A(1)(d) (Penalty for Non-compliance with Notices)</w:t>
            </w:r>
          </w:p>
          <w:p w14:paraId="4645B95B" w14:textId="77777777" w:rsidR="00776F99" w:rsidRDefault="00000000">
            <w:pPr>
              <w:pStyle w:val="ListParagraph"/>
              <w:numPr>
                <w:ilvl w:val="0"/>
                <w:numId w:val="2"/>
              </w:numPr>
              <w:spacing w:after="60"/>
            </w:pPr>
            <w:r>
              <w:t>Income Tax Act 1961 — Section 144B (Faceless Assessment)</w:t>
            </w:r>
          </w:p>
          <w:p w14:paraId="4645B95C" w14:textId="77777777" w:rsidR="00776F99" w:rsidRDefault="00000000">
            <w:pPr>
              <w:pStyle w:val="ListParagraph"/>
              <w:numPr>
                <w:ilvl w:val="0"/>
                <w:numId w:val="2"/>
              </w:numPr>
              <w:spacing w:after="60"/>
            </w:pPr>
            <w:r>
              <w:t>Income Tax Act 1961 — Section 44AA (Maintenance of Books)</w:t>
            </w:r>
          </w:p>
          <w:p w14:paraId="4645B95D" w14:textId="77777777" w:rsidR="00776F99" w:rsidRDefault="00000000">
            <w:pPr>
              <w:pStyle w:val="ListParagraph"/>
              <w:numPr>
                <w:ilvl w:val="0"/>
                <w:numId w:val="2"/>
              </w:numPr>
              <w:spacing w:after="60"/>
            </w:pPr>
            <w:r>
              <w:t>Income Tax Act 1961 — Section 44AB (Tax Audit)</w:t>
            </w:r>
          </w:p>
        </w:tc>
      </w:tr>
    </w:tbl>
    <w:p w14:paraId="4645B95F" w14:textId="77777777" w:rsidR="00534205" w:rsidRDefault="00534205"/>
    <w:sectPr w:rsidR="00534205">
      <w:headerReference w:type="default" r:id="rId7"/>
      <w:footerReference w:type="default" r:id="rId8"/>
      <w:pgSz w:w="11906" w:h="16838"/>
      <w:pgMar w:top="1000" w:right="1000" w:bottom="1000" w:left="10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B0C15" w14:textId="77777777" w:rsidR="00534205" w:rsidRDefault="00534205">
      <w:r>
        <w:separator/>
      </w:r>
    </w:p>
  </w:endnote>
  <w:endnote w:type="continuationSeparator" w:id="0">
    <w:p w14:paraId="54EF26D0" w14:textId="77777777" w:rsidR="00534205" w:rsidRDefault="0053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B960" w14:textId="77777777" w:rsidR="00776F99" w:rsidRDefault="00000000">
    <w:pPr>
      <w:pBdr>
        <w:top w:val="single" w:sz="4" w:space="1" w:color="CCCCCC"/>
      </w:pBdr>
    </w:pPr>
    <w:r>
      <w:rPr>
        <w:color w:val="999999"/>
        <w:sz w:val="14"/>
        <w:szCs w:val="14"/>
      </w:rPr>
      <w:t>Prepared by CA Deepak Bholusaria for ICAI Workshop use only. Not for public circulation.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1128" w14:textId="77777777" w:rsidR="00534205" w:rsidRDefault="00534205">
      <w:r>
        <w:separator/>
      </w:r>
    </w:p>
  </w:footnote>
  <w:footnote w:type="continuationSeparator" w:id="0">
    <w:p w14:paraId="78BAF3D1" w14:textId="77777777" w:rsidR="00534205" w:rsidRDefault="0053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B95F" w14:textId="77777777" w:rsidR="00776F99" w:rsidRDefault="00000000">
    <w:pPr>
      <w:pBdr>
        <w:bottom w:val="single" w:sz="4" w:space="1" w:color="CCCCCC"/>
      </w:pBdr>
      <w:tabs>
        <w:tab w:val="right" w:pos="9026"/>
      </w:tabs>
    </w:pPr>
    <w:r>
      <w:rPr>
        <w:color w:val="777777"/>
        <w:sz w:val="16"/>
        <w:szCs w:val="16"/>
      </w:rPr>
      <w:t>ICAI Workshop — AI Tools for Practising Chartered Accountants</w:t>
    </w:r>
    <w:r>
      <w:rPr>
        <w:sz w:val="16"/>
        <w:szCs w:val="16"/>
      </w:rPr>
      <w:tab/>
    </w:r>
    <w:r>
      <w:rPr>
        <w:color w:val="777777"/>
        <w:sz w:val="16"/>
        <w:szCs w:val="16"/>
      </w:rPr>
      <w:t>Use Case 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4F395F"/>
    <w:multiLevelType w:val="hybridMultilevel"/>
    <w:tmpl w:val="43D23FBE"/>
    <w:lvl w:ilvl="0" w:tplc="E7543CE0">
      <w:start w:val="1"/>
      <w:numFmt w:val="bullet"/>
      <w:lvlText w:val="•"/>
      <w:lvlJc w:val="left"/>
      <w:pPr>
        <w:ind w:left="360" w:hanging="360"/>
      </w:pPr>
    </w:lvl>
    <w:lvl w:ilvl="1" w:tplc="E2E2B658">
      <w:numFmt w:val="decimal"/>
      <w:lvlText w:val=""/>
      <w:lvlJc w:val="left"/>
    </w:lvl>
    <w:lvl w:ilvl="2" w:tplc="E68E84BC">
      <w:numFmt w:val="decimal"/>
      <w:lvlText w:val=""/>
      <w:lvlJc w:val="left"/>
    </w:lvl>
    <w:lvl w:ilvl="3" w:tplc="C8EA6926">
      <w:numFmt w:val="decimal"/>
      <w:lvlText w:val=""/>
      <w:lvlJc w:val="left"/>
    </w:lvl>
    <w:lvl w:ilvl="4" w:tplc="6B1EFB3A">
      <w:numFmt w:val="decimal"/>
      <w:lvlText w:val=""/>
      <w:lvlJc w:val="left"/>
    </w:lvl>
    <w:lvl w:ilvl="5" w:tplc="77128224">
      <w:numFmt w:val="decimal"/>
      <w:lvlText w:val=""/>
      <w:lvlJc w:val="left"/>
    </w:lvl>
    <w:lvl w:ilvl="6" w:tplc="45C02EB2">
      <w:numFmt w:val="decimal"/>
      <w:lvlText w:val=""/>
      <w:lvlJc w:val="left"/>
    </w:lvl>
    <w:lvl w:ilvl="7" w:tplc="C78E2C4E">
      <w:numFmt w:val="decimal"/>
      <w:lvlText w:val=""/>
      <w:lvlJc w:val="left"/>
    </w:lvl>
    <w:lvl w:ilvl="8" w:tplc="1CD0BE40">
      <w:numFmt w:val="decimal"/>
      <w:lvlText w:val=""/>
      <w:lvlJc w:val="left"/>
    </w:lvl>
  </w:abstractNum>
  <w:abstractNum w:abstractNumId="1" w15:restartNumberingAfterBreak="0">
    <w:nsid w:val="7BCC0FFF"/>
    <w:multiLevelType w:val="hybridMultilevel"/>
    <w:tmpl w:val="A65CA418"/>
    <w:lvl w:ilvl="0" w:tplc="C09E0CE2">
      <w:start w:val="1"/>
      <w:numFmt w:val="bullet"/>
      <w:lvlText w:val="●"/>
      <w:lvlJc w:val="left"/>
      <w:pPr>
        <w:ind w:left="720" w:hanging="360"/>
      </w:pPr>
    </w:lvl>
    <w:lvl w:ilvl="1" w:tplc="A552B17C">
      <w:start w:val="1"/>
      <w:numFmt w:val="bullet"/>
      <w:lvlText w:val="○"/>
      <w:lvlJc w:val="left"/>
      <w:pPr>
        <w:ind w:left="1440" w:hanging="360"/>
      </w:pPr>
    </w:lvl>
    <w:lvl w:ilvl="2" w:tplc="943C649E">
      <w:start w:val="1"/>
      <w:numFmt w:val="bullet"/>
      <w:lvlText w:val="■"/>
      <w:lvlJc w:val="left"/>
      <w:pPr>
        <w:ind w:left="2160" w:hanging="360"/>
      </w:pPr>
    </w:lvl>
    <w:lvl w:ilvl="3" w:tplc="58C27D18">
      <w:start w:val="1"/>
      <w:numFmt w:val="bullet"/>
      <w:lvlText w:val="●"/>
      <w:lvlJc w:val="left"/>
      <w:pPr>
        <w:ind w:left="2880" w:hanging="360"/>
      </w:pPr>
    </w:lvl>
    <w:lvl w:ilvl="4" w:tplc="6CB6DDAC">
      <w:start w:val="1"/>
      <w:numFmt w:val="bullet"/>
      <w:lvlText w:val="○"/>
      <w:lvlJc w:val="left"/>
      <w:pPr>
        <w:ind w:left="3600" w:hanging="360"/>
      </w:pPr>
    </w:lvl>
    <w:lvl w:ilvl="5" w:tplc="BB1C9E0A">
      <w:start w:val="1"/>
      <w:numFmt w:val="bullet"/>
      <w:lvlText w:val="■"/>
      <w:lvlJc w:val="left"/>
      <w:pPr>
        <w:ind w:left="4320" w:hanging="360"/>
      </w:pPr>
    </w:lvl>
    <w:lvl w:ilvl="6" w:tplc="851C138C">
      <w:start w:val="1"/>
      <w:numFmt w:val="bullet"/>
      <w:lvlText w:val="●"/>
      <w:lvlJc w:val="left"/>
      <w:pPr>
        <w:ind w:left="5040" w:hanging="360"/>
      </w:pPr>
    </w:lvl>
    <w:lvl w:ilvl="7" w:tplc="635066E8">
      <w:start w:val="1"/>
      <w:numFmt w:val="bullet"/>
      <w:lvlText w:val="●"/>
      <w:lvlJc w:val="left"/>
      <w:pPr>
        <w:ind w:left="5760" w:hanging="360"/>
      </w:pPr>
    </w:lvl>
    <w:lvl w:ilvl="8" w:tplc="7384189E">
      <w:start w:val="1"/>
      <w:numFmt w:val="bullet"/>
      <w:lvlText w:val="●"/>
      <w:lvlJc w:val="left"/>
      <w:pPr>
        <w:ind w:left="6480" w:hanging="360"/>
      </w:pPr>
    </w:lvl>
  </w:abstractNum>
  <w:num w:numId="1" w16cid:durableId="700664318">
    <w:abstractNumId w:val="1"/>
    <w:lvlOverride w:ilvl="0">
      <w:startOverride w:val="1"/>
    </w:lvlOverride>
  </w:num>
  <w:num w:numId="2" w16cid:durableId="104190324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F99"/>
    <w:rsid w:val="002204EB"/>
    <w:rsid w:val="002C3728"/>
    <w:rsid w:val="00534205"/>
    <w:rsid w:val="00776F99"/>
    <w:rsid w:val="00E766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B8BF"/>
  <w15:docId w15:val="{5FA49111-5E54-4B68-8847-FEBDC3FE0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1058</Words>
  <Characters>6013</Characters>
  <Application>Microsoft Office Word</Application>
  <DocSecurity>0</DocSecurity>
  <Lines>176</Lines>
  <Paragraphs>124</Paragraphs>
  <ScaleCrop>false</ScaleCrop>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Bhholusaria, Deepak</cp:lastModifiedBy>
  <cp:revision>3</cp:revision>
  <dcterms:created xsi:type="dcterms:W3CDTF">2026-05-29T08:50:00Z</dcterms:created>
  <dcterms:modified xsi:type="dcterms:W3CDTF">2026-06-06T12:10:00Z</dcterms:modified>
</cp:coreProperties>
</file>